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firstLine="562" w:firstLineChars="200"/>
        <w:rPr>
          <w:rFonts w:ascii="Times New Roman" w:hAnsi="Times New Roman" w:eastAsia="Heiti SC Medium" w:cs="Times New Roman"/>
          <w:sz w:val="28"/>
          <w:szCs w:val="28"/>
          <w:lang w:eastAsia="zh-CN"/>
        </w:rPr>
      </w:pPr>
      <w:bookmarkStart w:id="0" w:name="_Toc51745489"/>
      <w:r>
        <w:rPr>
          <w:rFonts w:ascii="Times New Roman" w:hAnsi="Times New Roman" w:eastAsia="Heiti SC Medium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Heiti SC Medium" w:cs="Times New Roman"/>
          <w:sz w:val="28"/>
          <w:szCs w:val="28"/>
          <w:lang w:eastAsia="zh-CN"/>
        </w:rPr>
        <w:t>：</w:t>
      </w:r>
      <w:bookmarkStart w:id="11" w:name="_GoBack"/>
      <w:bookmarkEnd w:id="11"/>
      <w:r>
        <w:rPr>
          <w:rFonts w:hint="eastAsia" w:ascii="Times New Roman" w:hAnsi="Times New Roman" w:eastAsia="Heiti SC Medium" w:cs="Times New Roman"/>
          <w:sz w:val="28"/>
          <w:szCs w:val="28"/>
          <w:lang w:eastAsia="zh-CN"/>
        </w:rPr>
        <w:t>竞赛样题</w:t>
      </w:r>
      <w:bookmarkEnd w:id="0"/>
    </w:p>
    <w:p>
      <w:pPr>
        <w:pStyle w:val="3"/>
        <w:spacing w:line="360" w:lineRule="auto"/>
        <w:ind w:left="0"/>
        <w:jc w:val="center"/>
        <w:rPr>
          <w:rFonts w:ascii="仿宋_GB2312" w:hAnsi="Times New Roman" w:eastAsia="仿宋_GB2312" w:cs="Times New Roman"/>
          <w:bCs w:val="0"/>
          <w:sz w:val="28"/>
          <w:szCs w:val="28"/>
          <w:lang w:eastAsia="zh-CN"/>
        </w:rPr>
      </w:pPr>
      <w:bookmarkStart w:id="1" w:name="_Toc51745490"/>
      <w:r>
        <w:rPr>
          <w:rFonts w:hint="eastAsia" w:ascii="仿宋_GB2312" w:hAnsi="Times New Roman" w:eastAsia="仿宋_GB2312" w:cs="Times New Roman"/>
          <w:bCs w:val="0"/>
          <w:sz w:val="28"/>
          <w:szCs w:val="28"/>
          <w:lang w:eastAsia="zh-CN"/>
        </w:rPr>
        <w:t>A模块样题：样品中钴含量的测定</w:t>
      </w:r>
      <w:bookmarkEnd w:id="1"/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bookmarkStart w:id="2" w:name="OLE_LINK39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健康和安全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请说明哪些是健康和安全措施所必须的？给出相应描述！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环保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bookmarkStart w:id="3" w:name="OLE_LINK95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请说明是否需要采取环保措施？</w:t>
      </w:r>
    </w:p>
    <w:bookmarkEnd w:id="3"/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基本原理</w:t>
      </w:r>
      <w:bookmarkEnd w:id="2"/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bookmarkStart w:id="4" w:name="OLE_LINK98"/>
      <w:bookmarkStart w:id="5" w:name="OLE_LINK96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在</w:t>
      </w:r>
      <w:bookmarkEnd w:id="4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碱性条件下，以紫脲酸铵为指示剂，用乙二胺四乙酸二钠标准滴定溶液对样品中的钴进行定量测定。</w:t>
      </w:r>
    </w:p>
    <w:bookmarkEnd w:id="5"/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目标</w:t>
      </w:r>
    </w:p>
    <w:p>
      <w:pPr>
        <w:pStyle w:val="4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配制指定的实验试剂溶液</w:t>
      </w:r>
    </w:p>
    <w:p>
      <w:pPr>
        <w:pStyle w:val="4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标定乙二胺四乙酸二钠标准滴定溶液</w:t>
      </w:r>
    </w:p>
    <w:p>
      <w:pPr>
        <w:pStyle w:val="4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测定样品中的钴含量</w:t>
      </w:r>
    </w:p>
    <w:p>
      <w:pPr>
        <w:pStyle w:val="4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完成报告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完成工作的总时间是3.5小时。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仪器设备、试剂和解决方案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1.仪器设备、试剂清单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主要设备</w:t>
            </w: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分析天平（精度0.1mg）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restart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玻璃器皿</w:t>
            </w: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容量瓶（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滴定管（聚四氟</w:t>
            </w:r>
            <w:r>
              <w:rPr>
                <w:rFonts w:hint="eastAsia" w:ascii="仿宋_GB2312" w:eastAsia="仿宋_GB2312"/>
                <w:lang w:val="zh-Hans" w:eastAsia="zh-CN"/>
              </w:rPr>
              <w:t>乙烯塞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吸量管（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移液管（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zh-Hans"/>
              </w:rPr>
              <w:t>锥形瓶（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量筒</w:t>
            </w:r>
            <w:r>
              <w:rPr>
                <w:rFonts w:hint="eastAsia" w:ascii="仿宋_GB2312" w:eastAsia="仿宋_GB2312"/>
                <w:lang w:val="zh-Hans" w:eastAsia="zh-CN"/>
              </w:rPr>
              <w:t>（</w:t>
            </w:r>
            <w:r>
              <w:rPr>
                <w:rFonts w:hint="eastAsia" w:ascii="仿宋_GB2312" w:eastAsia="仿宋_GB2312"/>
                <w:lang w:val="zh-Hans"/>
              </w:rPr>
              <w:t>杯</w:t>
            </w:r>
            <w:r>
              <w:rPr>
                <w:rFonts w:hint="eastAsia" w:ascii="仿宋_GB2312" w:eastAsia="仿宋_GB2312"/>
                <w:lang w:val="zh-Hans" w:eastAsia="zh-CN"/>
              </w:rPr>
              <w:t>）</w:t>
            </w:r>
            <w:r>
              <w:rPr>
                <w:rFonts w:hint="eastAsia" w:ascii="仿宋_GB2312" w:eastAsia="仿宋_GB2312"/>
                <w:lang w:val="zh-Hans"/>
              </w:rPr>
              <w:t>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不同大小的</w:t>
            </w:r>
            <w:r>
              <w:rPr>
                <w:rFonts w:hint="eastAsia" w:ascii="仿宋_GB2312" w:eastAsia="仿宋_GB2312"/>
                <w:lang w:val="zh-Hans"/>
              </w:rPr>
              <w:t>烧杯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zh-Hans"/>
              </w:rPr>
              <w:t>实验室常见其他玻璃</w:t>
            </w:r>
            <w:r>
              <w:rPr>
                <w:rFonts w:hint="eastAsia" w:ascii="仿宋_GB2312" w:eastAsia="仿宋_GB2312"/>
                <w:lang w:val="zh-Hans" w:eastAsia="zh-CN"/>
              </w:rPr>
              <w:t>器皿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restart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试剂和溶液</w:t>
            </w: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基准试剂氧化锌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盐酸溶液</w:t>
            </w: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质量分数20%</w:t>
            </w: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left"/>
              <w:textAlignment w:val="baseline"/>
              <w:rPr>
                <w:rFonts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乙二胺四乙酸二钠</w:t>
            </w: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标准滴定</w:t>
            </w: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rFonts w:hint="eastAsia" w:ascii="仿宋_GB2312" w:eastAsia="仿宋_GB2312"/>
                <w:i/>
                <w:color w:val="000000" w:themeColor="text1"/>
                <w:u w:val="single"/>
                <w:lang w:val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i/>
                <w:color w:val="000000" w:themeColor="text1"/>
                <w:u w:val="single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eastAsia="仿宋_GB2312"/>
                <w:i/>
                <w:color w:val="000000" w:themeColor="text1"/>
                <w:u w:val="single"/>
                <w:lang w:val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i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>EDTA</w:t>
            </w:r>
            <w:r>
              <w:rPr>
                <w:rFonts w:hint="eastAsia" w:ascii="仿宋_GB2312" w:eastAsia="仿宋_GB2312"/>
                <w:i/>
                <w:color w:val="000000" w:themeColor="text1"/>
                <w:u w:val="single"/>
                <w:lang w:val="zh-Hans"/>
                <w14:textFill>
                  <w14:solidFill>
                    <w14:schemeClr w14:val="tx1"/>
                  </w14:solidFill>
                </w14:textFill>
              </w:rPr>
              <w:t>）≈0.</w:t>
            </w:r>
            <w:r>
              <w:rPr>
                <w:rFonts w:hint="eastAsia" w:ascii="仿宋_GB2312" w:eastAsia="仿宋_GB2312"/>
                <w:i/>
                <w:color w:val="000000" w:themeColor="text1"/>
                <w:u w:val="single"/>
                <w:lang w:val="zh-Hans" w:eastAsia="zh-TW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仿宋_GB2312" w:eastAsia="仿宋_GB2312"/>
                <w:i/>
                <w:color w:val="000000" w:themeColor="text1"/>
                <w:u w:val="single"/>
                <w:lang w:val="zh-Hans"/>
                <w14:textFill>
                  <w14:solidFill>
                    <w14:schemeClr w14:val="tx1"/>
                  </w14:solidFill>
                </w14:textFill>
              </w:rPr>
              <w:t xml:space="preserve"> mol/L）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氨水溶</w:t>
            </w: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液</w:t>
            </w: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质量分数</w:t>
            </w:r>
            <w:r>
              <w:rPr>
                <w:rFonts w:hint="eastAsia" w:ascii="仿宋_GB2312" w:eastAsia="仿宋_GB2312"/>
                <w:color w:val="000000" w:themeColor="text1"/>
                <w:lang w:val="zh-Hans" w:eastAsia="zh-TW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lang w:val="zh-Hans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氨-氯化铵缓冲溶液（</w:t>
            </w:r>
            <w:r>
              <w:rPr>
                <w:rFonts w:hint="eastAsia" w:ascii="仿宋_GB2312" w:eastAsia="仿宋_GB2312"/>
                <w:i/>
                <w:iCs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H≈10）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铬黑T指示剂（5g/L）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钴样品溶液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紫脲酸铵指示剂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8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去离子水</w:t>
            </w:r>
          </w:p>
        </w:tc>
      </w:tr>
    </w:tbl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2.溶液准备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根据现场提供的试剂，按标准要求配制指定的实验试剂溶液。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3.实验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（1）用锌标准溶液标定乙二胺四乙酸二钠溶液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减量法称取所需质量的基准试剂氧化锌，并用少量蒸馏水润湿，加入一定体积的盐酸溶液（20%），搅拌，直到氧化锌完全溶解，然后定量转移至容量瓶中，用水稀释至刻度，摇匀。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移取一定体积的锌标准溶液于锥形瓶中，加入一定体积的去离子水，用氨水溶液（10%）将溶液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p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H值调至7～8，加入适量的氨-氯化铵缓冲溶液（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p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H≈10）及铬黑T指示剂（5g/L），用待标定的乙二胺四乙酸二钠溶液滴定至溶液由紫色变为纯蓝色。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平行测定3次，同时做空白试验。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使用以下公式计算乙二胺四乙酸二钠标准滴定溶液的浓度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c(EDTA)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，单位mol/L。取3次测定结果的算术平均值作为最终结果，结果保留4位有效数字。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m:oMathPara>
        <m:oMath>
          <m:r>
            <w:rPr>
              <w:rFonts w:hint="eastAsia" w:ascii="Cambria Math" w:hAnsi="Cambria Math" w:eastAsia="仿宋_GB2312" w:cs="Times New Roman"/>
              <w:color w:val="000000" w:themeColor="text1"/>
              <w:spacing w:val="2"/>
              <w:sz w:val="28"/>
              <w:szCs w:val="28"/>
              <w:lang w:eastAsia="zh-CN"/>
              <w14:textFill>
                <w14:solidFill>
                  <w14:schemeClr w14:val="tx1"/>
                </w14:solidFill>
              </w14:textFill>
            </w:rPr>
            <m:t xml:space="preserve">c </m:t>
          </m:r>
          <m:d>
            <m:dPr>
              <m:ctrlPr>
                <w:rPr>
                  <w:rFonts w:hint="eastAsia" w:ascii="Cambria Math" w:hAnsi="Cambria Math" w:eastAsia="仿宋_GB2312" w:cs="Times New Roman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dPr>
            <m:e>
              <m:r>
                <w:rPr>
                  <w:rFonts w:hint="eastAsia" w:ascii="Cambria Math" w:hAnsi="Cambria Math" w:eastAsia="仿宋_GB2312" w:cs="Times New Roman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EDTA</m:t>
              </m:r>
              <m:ctrlPr>
                <w:rPr>
                  <w:rFonts w:hint="eastAsia" w:ascii="Cambria Math" w:hAnsi="Cambria Math" w:eastAsia="仿宋_GB2312" w:cs="Times New Roman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d>
          <m:r>
            <w:rPr>
              <w:rFonts w:hint="eastAsia" w:ascii="Cambria Math" w:hAnsi="Cambria Math" w:eastAsia="仿宋_GB2312" w:cs="Times New Roman"/>
              <w:color w:val="000000" w:themeColor="text1"/>
              <w:spacing w:val="2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=</m:t>
          </m:r>
          <m:f>
            <m:fPr>
              <m:ctrlPr>
                <w:rPr>
                  <w:rFonts w:hint="eastAsia" w:ascii="Cambria Math" w:hAnsi="Cambria Math" w:eastAsia="仿宋_GB2312" w:cs="Times New Roman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fPr>
            <m:num>
              <m:r>
                <w:rPr>
                  <w:rFonts w:hint="eastAsia" w:ascii="Cambria Math" w:hAnsi="Cambria Math" w:eastAsia="仿宋_GB2312" w:cs="Times New Roman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m×(</m:t>
              </m:r>
              <m:f>
                <m:fP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仿宋_GB2312" w:cs="Times New Roman"/>
                          <w:i/>
                          <w:color w:val="000000" w:themeColor="text1"/>
                          <w:spacing w:val="2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Pr>
                    <m:e>
                      <m:r>
                        <w:rPr>
                          <w:rFonts w:hint="eastAsia" w:ascii="Cambria Math" w:hAnsi="Cambria Math" w:eastAsia="仿宋_GB2312" w:cs="Times New Roman"/>
                          <w:color w:val="000000" w:themeColor="text1"/>
                          <w:spacing w:val="2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V</m:t>
                      </m:r>
                      <m:ctrlPr>
                        <w:rPr>
                          <w:rFonts w:hint="eastAsia" w:ascii="Cambria Math" w:hAnsi="Cambria Math" w:eastAsia="仿宋_GB2312" w:cs="Times New Roman"/>
                          <w:i/>
                          <w:color w:val="000000" w:themeColor="text1"/>
                          <w:spacing w:val="2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w:rPr>
                          <w:rFonts w:hint="eastAsia" w:ascii="Cambria Math" w:hAnsi="Cambria Math" w:eastAsia="仿宋_GB2312" w:cs="Times New Roman"/>
                          <w:color w:val="000000" w:themeColor="text1"/>
                          <w:spacing w:val="2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hint="eastAsia" w:ascii="Cambria Math" w:hAnsi="Cambria Math" w:eastAsia="仿宋_GB2312" w:cs="Times New Roman"/>
                          <w:i/>
                          <w:color w:val="000000" w:themeColor="text1"/>
                          <w:spacing w:val="2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pacing w:val="2"/>
                      <w:sz w:val="28"/>
                      <w:szCs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w:rPr>
                  <w:rFonts w:hint="eastAsia" w:ascii="Cambria Math" w:hAnsi="Cambria Math" w:eastAsia="仿宋_GB2312" w:cs="Times New Roman"/>
                  <w:color w:val="000000" w:themeColor="text1"/>
                  <w:spacing w:val="2"/>
                  <w:sz w:val="28"/>
                  <w:szCs w:val="2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)</m:t>
              </m:r>
              <m:r>
                <w:rPr>
                  <w:rFonts w:hint="eastAsia" w:ascii="Cambria Math" w:hAnsi="Cambria Math" w:eastAsia="仿宋_GB2312" w:cs="Times New Roman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×1000</m:t>
              </m:r>
              <m:ctrlPr>
                <w:rPr>
                  <w:rFonts w:hint="eastAsia" w:ascii="Cambria Math" w:hAnsi="Cambria Math" w:eastAsia="仿宋_GB2312" w:cs="Times New Roman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num>
            <m:den>
              <m:r>
                <w:rPr>
                  <w:rFonts w:hint="eastAsia" w:ascii="Cambria Math" w:hAnsi="Cambria Math" w:eastAsia="仿宋_GB2312" w:cs="Times New Roman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(</m:t>
              </m:r>
              <m:sSub>
                <m:sSubP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w:rPr>
                  <w:rFonts w:hint="eastAsia" w:ascii="MS Mincho" w:hAnsi="MS Mincho" w:eastAsia="MS Mincho" w:cs="MS Mincho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-</m:t>
              </m:r>
              <m:sSub>
                <m:sSubP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3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w:rPr>
                  <w:rFonts w:hint="eastAsia" w:ascii="Cambria Math" w:hAnsi="Cambria Math" w:eastAsia="仿宋_GB2312" w:cs="Times New Roman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)×M</m:t>
              </m:r>
              <m:ctrlPr>
                <w:rPr>
                  <w:rFonts w:hint="eastAsia" w:ascii="Cambria Math" w:hAnsi="Cambria Math" w:eastAsia="仿宋_GB2312" w:cs="Times New Roman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den>
          </m:f>
        </m:oMath>
      </m:oMathPara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式中：</w:t>
      </w:r>
    </w:p>
    <w:p>
      <w:pPr>
        <w:pStyle w:val="4"/>
        <w:spacing w:line="360" w:lineRule="auto"/>
        <w:ind w:left="425" w:leftChars="193" w:firstLine="1156" w:firstLineChars="41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 xml:space="preserve">m </w:t>
      </w:r>
      <w:bookmarkStart w:id="6" w:name="OLE_LINK118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</w:t>
      </w:r>
      <w:bookmarkEnd w:id="6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氧化锌质量，单位为克（g）；</w:t>
      </w:r>
    </w:p>
    <w:p>
      <w:pPr>
        <w:pStyle w:val="4"/>
        <w:spacing w:line="360" w:lineRule="auto"/>
        <w:ind w:left="425" w:leftChars="193" w:firstLine="1156" w:firstLineChars="41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 xml:space="preserve">V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——氧化锌定容后的体积，单位为毫升（mL）； </w:t>
      </w:r>
    </w:p>
    <w:p>
      <w:pPr>
        <w:pStyle w:val="4"/>
        <w:spacing w:line="360" w:lineRule="auto"/>
        <w:ind w:left="425" w:leftChars="193" w:firstLine="1156" w:firstLineChars="41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V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——移取的氧化锌溶液体积，单位为毫升（mL）； </w:t>
      </w:r>
    </w:p>
    <w:p>
      <w:pPr>
        <w:pStyle w:val="4"/>
        <w:spacing w:line="360" w:lineRule="auto"/>
        <w:ind w:left="425" w:leftChars="193" w:firstLine="1156" w:firstLineChars="41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V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2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——氧化锌消耗的乙二胺四乙酸二钠溶液体积，单位为毫升（mL）； </w:t>
      </w:r>
    </w:p>
    <w:p>
      <w:pPr>
        <w:pStyle w:val="4"/>
        <w:spacing w:line="360" w:lineRule="auto"/>
        <w:ind w:left="425" w:leftChars="193" w:firstLine="1156" w:firstLineChars="41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V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——空白试验消耗的乙二胺四乙酸二钠溶液体积，单位为毫升（mL）； </w:t>
      </w:r>
    </w:p>
    <w:p>
      <w:pPr>
        <w:pStyle w:val="4"/>
        <w:spacing w:line="360" w:lineRule="auto"/>
        <w:ind w:left="425" w:leftChars="193" w:firstLine="1156" w:firstLineChars="41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M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——氧化锌的摩尔质量，单位为克每摩尔（g/mo1）[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M(ZnO)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=81.408]。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（2）样品分析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根据提供的浓度范围，准确移取一定体积钴溶液样品，加入适量蒸馏水，调溶液pH为适当后，用乙二胺四乙酸二钠标准滴定溶液[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c(EDTA)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≈0.05mol/L]滴定，至滴定终点前约1 mL时，加一定体积氨-氯化铵缓冲溶液(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p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H≈10)及0.2 g紫脲酸铵指示剂，继续滴定至溶液呈紫红色。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平行测定3次。允许预滴定一次。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4.结果处理、分析和报告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（1）钴含量计算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按下式计算出样品中钴的含量，以质量浓度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ρ(Co)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计，数值以g/L表示。取3次测定结果的算术平均值作为最终结果，结果保留4位有效数字。</w:t>
      </w:r>
    </w:p>
    <w:p>
      <w:pPr>
        <w:pStyle w:val="1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仿宋_GB2312" w:eastAsia="仿宋_GB2312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  <m:oMathPara>
        <m:oMath>
          <m:r>
            <w:rPr>
              <w:rFonts w:hint="eastAsia" w:ascii="Cambria Math" w:hAnsi="Cambria Math" w:eastAsia="仿宋_GB2312"/>
              <w:color w:val="000000" w:themeColor="text1"/>
              <w:spacing w:val="2"/>
              <w:sz w:val="28"/>
              <w:szCs w:val="28"/>
              <w:lang w:val="en-US" w:eastAsia="zh-CN"/>
              <w14:textFill>
                <w14:solidFill>
                  <w14:schemeClr w14:val="tx1"/>
                </w14:solidFill>
              </w14:textFill>
            </w:rPr>
            <m:t>ρ</m:t>
          </m:r>
          <m:r>
            <w:rPr>
              <w:rFonts w:hint="eastAsia" w:ascii="Cambria Math" w:hAnsi="Cambria Math" w:eastAsia="仿宋_GB2312"/>
              <w:color w:val="000000" w:themeColor="text1"/>
              <w:spacing w:val="2"/>
              <w:sz w:val="28"/>
              <w:szCs w:val="28"/>
              <w:lang w:eastAsia="zh-CN"/>
              <w14:textFill>
                <w14:solidFill>
                  <w14:schemeClr w14:val="tx1"/>
                </w14:solidFill>
              </w14:textFill>
            </w:rPr>
            <m:t xml:space="preserve"> </m:t>
          </m:r>
          <m:d>
            <m:dP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dPr>
            <m:e>
              <m:r>
                <w:rPr>
                  <w:rFonts w:hint="eastAsia" w:ascii="Cambria Math" w:hAnsi="Cambria Math" w:eastAsia="仿宋_GB2312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C</m:t>
              </m:r>
              <m:r>
                <w:rPr>
                  <w:rFonts w:hint="eastAsia" w:ascii="Cambria Math" w:hAnsi="Cambria Math" w:eastAsia="仿宋_GB2312"/>
                  <w:color w:val="000000" w:themeColor="text1"/>
                  <w:spacing w:val="2"/>
                  <w:sz w:val="28"/>
                  <w:szCs w:val="2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o</m:t>
              </m: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d>
          <m:r>
            <w:rPr>
              <w:rFonts w:hint="eastAsia" w:ascii="Cambria Math" w:hAnsi="Cambria Math" w:eastAsia="仿宋_GB2312"/>
              <w:color w:val="000000" w:themeColor="text1"/>
              <w:spacing w:val="2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=</m:t>
          </m:r>
          <m:f>
            <m:fP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fPr>
            <m:num>
              <m:r>
                <w:rPr>
                  <w:rFonts w:hint="eastAsia" w:ascii="Cambria Math" w:hAnsi="Cambria Math" w:eastAsia="仿宋_GB2312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c</m:t>
              </m:r>
              <m:r>
                <w:rPr>
                  <w:rFonts w:hint="eastAsia" w:ascii="Cambria Math" w:hAnsi="Cambria Math" w:eastAsia="仿宋_GB2312"/>
                  <w:color w:val="000000" w:themeColor="text1"/>
                  <w:spacing w:val="2"/>
                  <w:sz w:val="28"/>
                  <w:szCs w:val="2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m:t>V</m:t>
              </m:r>
              <m:r>
                <w:rPr>
                  <w:rFonts w:hint="eastAsia" w:ascii="Cambria Math" w:hAnsi="Cambria Math" w:eastAsia="仿宋_GB2312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×M(Co)</m:t>
              </m: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num>
            <m:den>
              <m:sSub>
                <m:sSubPr>
                  <m:ctrlPr>
                    <w:rPr>
                      <w:rFonts w:hint="eastAsia" w:ascii="Cambria Math" w:hAnsi="Cambria Math" w:eastAsia="仿宋_GB2312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hint="eastAsia" w:ascii="Cambria Math" w:hAnsi="Cambria Math" w:eastAsia="仿宋_GB2312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/>
                      <w:color w:val="000000" w:themeColor="text1"/>
                      <w:spacing w:val="2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试样</m:t>
                  </m:r>
                  <m:ctrlPr>
                    <w:rPr>
                      <w:rFonts w:hint="eastAsia" w:ascii="Cambria Math" w:hAnsi="Cambria Math" w:eastAsia="仿宋_GB2312"/>
                      <w:i/>
                      <w:color w:val="000000" w:themeColor="text1"/>
                      <w:spacing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w:rPr>
                  <w:rFonts w:hint="eastAsia" w:ascii="Cambria Math" w:hAnsi="Cambria Math" w:eastAsia="仿宋_GB2312"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×1000</m:t>
              </m: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pacing w:val="2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den>
          </m:f>
          <m:r>
            <w:rPr>
              <w:rFonts w:hint="eastAsia" w:ascii="Cambria Math" w:hAnsi="Cambria Math" w:eastAsia="仿宋_GB2312"/>
              <w:color w:val="000000" w:themeColor="text1"/>
              <w:spacing w:val="2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×1000</m:t>
          </m:r>
        </m:oMath>
      </m:oMathPara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式中：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c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——乙二胺四乙酸二钠标准滴定溶液浓度的准确数值，单位为摩尔/升（mol/L）； 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V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——乙二胺四乙酸二钠标准滴定溶液浓度体积的数值，单位为毫升（mL）； 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V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试样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——移取的钴样品体积，单位为毫升（mL）； 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M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——钴的原子质量，单位为克/摩尔（g/mo1） [M(Co)=58.93]。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（2）误差分析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对结果的精密度进行分析，以相对极差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A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（%）表示，结果精确至小数点后一位，计算公式如下：</w:t>
      </w:r>
    </w:p>
    <w:p>
      <w:pPr>
        <w:jc w:val="center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m:oMathPara>
        <m:oMath>
          <m:r>
            <w:rPr>
              <w:rFonts w:hint="eastAsia" w:ascii="Cambria Math" w:hAnsi="Cambria Math" w:eastAsia="仿宋_GB2312" w:cs="Times New Roman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A=</m:t>
          </m:r>
          <m:f>
            <m:fPr>
              <m:ctrlPr>
                <w:rPr>
                  <w:rFonts w:hint="eastAsia" w:ascii="Cambria Math" w:hAnsi="Cambria Math" w:eastAsia="仿宋_GB2312" w:cs="Times New Roman"/>
                  <w:i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fPr>
            <w:bookmarkStart w:id="7" w:name="OLE_LINK141"/>
            <m:num>
              <m:r>
                <w:rPr>
                  <w:rFonts w:hint="eastAsia" w:ascii="Cambria Math" w:hAnsi="Cambria Math" w:eastAsia="仿宋_GB2312" w:cs="Times New Roman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(</m:t>
              </m:r>
              <m:sSub>
                <m:sSubP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X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  <w:bookmarkEnd w:id="7"/>
                </m:sub>
              </m:sSub>
              <m:r>
                <w:rPr>
                  <w:rFonts w:hint="eastAsia" w:ascii="MS Mincho" w:hAnsi="MS Mincho" w:eastAsia="MS Mincho" w:cs="MS Mincho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-</m:t>
              </m:r>
              <m:sSub>
                <m:sSubP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X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w:rPr>
                  <w:rFonts w:hint="eastAsia" w:ascii="Cambria Math" w:hAnsi="Cambria Math" w:eastAsia="仿宋_GB2312" w:cs="Times New Roman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)</m:t>
              </m:r>
              <m:ctrlPr>
                <w:rPr>
                  <w:rFonts w:hint="eastAsia" w:ascii="Cambria Math" w:hAnsi="Cambria Math" w:eastAsia="仿宋_GB2312" w:cs="Times New Roman"/>
                  <w:i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num>
            <m:den>
              <m:acc>
                <m:accPr>
                  <m:chr m:val="̅"/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w:rPr>
                      <w:rFonts w:hint="eastAsia" w:ascii="Cambria Math" w:hAnsi="Cambria Math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X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  <m:ctrlPr>
                <w:rPr>
                  <w:rFonts w:hint="eastAsia" w:ascii="Cambria Math" w:hAnsi="Cambria Math" w:eastAsia="仿宋_GB2312" w:cs="Times New Roman"/>
                  <w:i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den>
          </m:f>
          <m:r>
            <w:rPr>
              <w:rFonts w:hint="eastAsia" w:ascii="MS Mincho" w:hAnsi="MS Mincho" w:eastAsia="MS Mincho" w:cs="MS Mincho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*</m:t>
          </m:r>
          <m:r>
            <w:rPr>
              <w:rFonts w:hint="eastAsia" w:ascii="Cambria Math" w:hAnsi="Cambria Math" w:eastAsia="仿宋_GB2312" w:cs="Times New Roman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100</m:t>
          </m:r>
        </m:oMath>
      </m:oMathPara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式中：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bookmarkStart w:id="8" w:name="OLE_LINK143"/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X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1</w:t>
      </w:r>
      <w:bookmarkEnd w:id="8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——平行测定的最大值；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X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——平行测定的最小值；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m:oMath>
        <m:acc>
          <m:accPr>
            <m:chr m:val="̅"/>
            <m:ctrlPr>
              <w:rPr>
                <w:rFonts w:hint="eastAsia" w:ascii="Cambria Math" w:hAnsi="Cambria Math" w:eastAsia="仿宋_GB2312" w:cs="Times New Roman"/>
                <w:sz w:val="28"/>
                <w:szCs w:val="28"/>
                <w:lang w:eastAsia="zh-CN"/>
              </w:rPr>
            </m:ctrlPr>
          </m:accPr>
          <m:e>
            <m:r>
              <w:rPr>
                <w:rFonts w:hint="eastAsia" w:ascii="Cambria Math" w:hAnsi="Cambria Math" w:eastAsia="仿宋_GB2312" w:cs="Times New Roman"/>
                <w:sz w:val="28"/>
                <w:szCs w:val="28"/>
                <w:lang w:eastAsia="zh-CN"/>
              </w:rPr>
              <m:t>X</m:t>
            </m:r>
            <m:ctrlPr>
              <w:rPr>
                <w:rFonts w:hint="eastAsia" w:ascii="Cambria Math" w:hAnsi="Cambria Math" w:eastAsia="仿宋_GB2312" w:cs="Times New Roman"/>
                <w:sz w:val="28"/>
                <w:szCs w:val="28"/>
                <w:lang w:eastAsia="zh-CN"/>
              </w:rPr>
            </m:ctrlPr>
          </m:e>
        </m:acc>
      </m:oMath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——平行测定的平均值。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（3）报告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请完成一份报告，应包括：实验过程中必须做好的健康、安全、环保措施；实验过程记录和结果的评价、问题分析。</w:t>
      </w:r>
    </w:p>
    <w:p>
      <w:pPr>
        <w:pStyle w:val="4"/>
        <w:spacing w:line="360" w:lineRule="auto"/>
        <w:ind w:left="0" w:firstLine="562" w:firstLineChars="200"/>
        <w:jc w:val="both"/>
        <w:rPr>
          <w:rFonts w:ascii="仿宋_GB2312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eastAsia="zh-CN"/>
        </w:rPr>
        <w:br w:type="page"/>
      </w:r>
    </w:p>
    <w:p>
      <w:pPr>
        <w:pStyle w:val="3"/>
        <w:spacing w:line="360" w:lineRule="auto"/>
        <w:ind w:left="0"/>
        <w:jc w:val="center"/>
        <w:rPr>
          <w:rFonts w:ascii="仿宋_GB2312" w:hAnsi="Times New Roman" w:eastAsia="仿宋_GB2312" w:cs="Times New Roman"/>
          <w:bCs w:val="0"/>
          <w:sz w:val="28"/>
          <w:szCs w:val="28"/>
          <w:lang w:eastAsia="zh-CN"/>
        </w:rPr>
      </w:pPr>
      <w:bookmarkStart w:id="9" w:name="_Toc51745491"/>
      <w:r>
        <w:rPr>
          <w:rFonts w:hint="eastAsia" w:ascii="仿宋_GB2312" w:hAnsi="Times New Roman" w:eastAsia="仿宋_GB2312" w:cs="Times New Roman"/>
          <w:bCs w:val="0"/>
          <w:sz w:val="28"/>
          <w:szCs w:val="28"/>
          <w:lang w:eastAsia="zh-CN"/>
        </w:rPr>
        <w:t>B模块样题：样品中铁含量的测定</w:t>
      </w:r>
      <w:bookmarkEnd w:id="9"/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健康和安全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请说明哪些是健康和安全措施所必须的？给出相应描述！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环保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请说明是否需要采取环保措施？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基本原理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该方法基于特定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p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H条件下，二价铁离子可以与1,10-菲啰啉生成有色配合物，有色配合物在最大吸收波长处测量的吸光度符合朗伯比尔定律(Lambert-Beer)。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目标</w:t>
      </w:r>
    </w:p>
    <w:p>
      <w:pPr>
        <w:pStyle w:val="4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配制指定的实验试剂溶液</w:t>
      </w:r>
    </w:p>
    <w:p>
      <w:pPr>
        <w:pStyle w:val="4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测定样品中铁的浓度（mg/ L）</w:t>
      </w:r>
    </w:p>
    <w:p>
      <w:pPr>
        <w:pStyle w:val="4"/>
        <w:numPr>
          <w:ilvl w:val="0"/>
          <w:numId w:val="2"/>
        </w:numPr>
        <w:spacing w:line="360" w:lineRule="auto"/>
        <w:ind w:left="1276" w:hanging="283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完成报告</w:t>
      </w:r>
    </w:p>
    <w:p>
      <w:pPr>
        <w:pStyle w:val="4"/>
        <w:spacing w:line="360" w:lineRule="auto"/>
        <w:ind w:left="993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完成工作的总时间是3小时。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仪器设备、试剂和解决方案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1.仪器设备、试剂清单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  <w:t>主要设备</w:t>
            </w: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紫外</w:t>
            </w:r>
            <w:r>
              <w:rPr>
                <w:rFonts w:hint="eastAsia" w:ascii="仿宋_GB2312" w:eastAsia="仿宋_GB2312"/>
                <w:lang w:val="zh-Hans" w:eastAsia="zh-CN"/>
              </w:rPr>
              <w:t>-可见</w:t>
            </w:r>
            <w:r>
              <w:rPr>
                <w:rFonts w:hint="eastAsia" w:ascii="仿宋_GB2312" w:eastAsia="仿宋_GB2312"/>
                <w:lang w:val="zh-Hans"/>
              </w:rPr>
              <w:t>分光光度计</w:t>
            </w:r>
            <w:r>
              <w:rPr>
                <w:rFonts w:hint="eastAsia" w:ascii="仿宋_GB2312" w:eastAsia="仿宋_GB2312"/>
                <w:lang w:val="zh-Hans" w:eastAsia="zh-CN"/>
              </w:rPr>
              <w:t>（配备1cm石英或玻璃比色皿2个）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  <w:t>玻璃器皿</w:t>
            </w: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容量瓶（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吸量管（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移液管（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zh-Hans"/>
              </w:rPr>
              <w:t>量</w:t>
            </w:r>
            <w:r>
              <w:rPr>
                <w:rFonts w:hint="eastAsia" w:ascii="仿宋_GB2312" w:eastAsia="仿宋_GB2312"/>
                <w:lang w:val="zh-Hans" w:eastAsia="zh-CN"/>
              </w:rPr>
              <w:t>筒（杯）</w:t>
            </w:r>
            <w:r>
              <w:rPr>
                <w:rFonts w:hint="eastAsia" w:ascii="仿宋_GB2312" w:eastAsia="仿宋_GB2312"/>
                <w:lang w:val="zh-Hans"/>
              </w:rPr>
              <w:t>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/>
              </w:rPr>
              <w:t>烧杯（</w:t>
            </w:r>
            <w:r>
              <w:rPr>
                <w:rFonts w:hint="eastAsia" w:ascii="仿宋_GB2312" w:eastAsia="仿宋_GB2312"/>
                <w:lang w:val="zh-Hans" w:eastAsia="zh-CN"/>
              </w:rPr>
              <w:t>不同规格</w:t>
            </w:r>
            <w:r>
              <w:rPr>
                <w:rFonts w:hint="eastAsia" w:ascii="仿宋_GB2312" w:eastAsia="仿宋_GB2312"/>
                <w:lang w:val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/>
              </w:rPr>
              <w:t>其他玻璃</w:t>
            </w:r>
            <w:r>
              <w:rPr>
                <w:rFonts w:hint="eastAsia" w:ascii="仿宋_GB2312" w:eastAsia="仿宋_GB2312"/>
                <w:lang w:val="zh-Hans" w:eastAsia="zh-CN"/>
              </w:rPr>
              <w:t>器皿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  <w:t>试剂和溶液</w:t>
            </w: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冰醋酸（</w:t>
            </w:r>
            <w:r>
              <w:rPr>
                <w:rFonts w:hint="eastAsia" w:ascii="仿宋_GB2312" w:hAnsi="宋体" w:eastAsia="仿宋_GB2312" w:cs="宋体"/>
                <w:bCs/>
              </w:rPr>
              <w:t>乙酸</w:t>
            </w:r>
            <w:r>
              <w:rPr>
                <w:rFonts w:hint="eastAsia" w:ascii="仿宋_GB2312" w:eastAsia="仿宋_GB2312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三水</w:t>
            </w:r>
            <w:r>
              <w:rPr>
                <w:rFonts w:hint="eastAsia" w:ascii="仿宋_GB2312" w:hAnsi="宋体" w:eastAsia="仿宋_GB2312" w:cs="宋体"/>
                <w:bCs/>
              </w:rPr>
              <w:t>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抗坏血酸</w:t>
            </w:r>
            <w:r>
              <w:rPr>
                <w:rFonts w:hint="eastAsia" w:ascii="仿宋_GB2312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</w:rPr>
              <w:t>100g/L</w:t>
            </w:r>
            <w:r>
              <w:rPr>
                <w:rFonts w:hint="eastAsia" w:ascii="仿宋_GB2312" w:eastAsia="仿宋_GB2312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bCs/>
              </w:rPr>
              <w:t>1,10-</w:t>
            </w:r>
            <w:r>
              <w:rPr>
                <w:rFonts w:hint="eastAsia" w:ascii="仿宋_GB2312" w:hAnsi="宋体" w:eastAsia="仿宋_GB2312" w:cs="宋体"/>
                <w:bCs/>
              </w:rPr>
              <w:t>菲啰啉</w:t>
            </w:r>
            <w:r>
              <w:rPr>
                <w:rFonts w:hint="eastAsia" w:ascii="仿宋_GB2312" w:eastAsia="仿宋_GB2312"/>
                <w:bCs/>
                <w:lang w:eastAsia="zh-CN"/>
              </w:rPr>
              <w:t>溶液（</w:t>
            </w:r>
            <w:r>
              <w:rPr>
                <w:rFonts w:hint="eastAsia" w:ascii="仿宋_GB2312" w:eastAsia="仿宋_GB2312"/>
                <w:bCs/>
              </w:rPr>
              <w:t>1.5g/L</w:t>
            </w:r>
            <w:r>
              <w:rPr>
                <w:rFonts w:hint="eastAsia" w:ascii="仿宋_GB2312" w:eastAsia="仿宋_GB2312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hAnsi="宋体" w:eastAsia="仿宋_GB2312" w:cs="宋体"/>
              </w:rPr>
              <w:t>铁（</w:t>
            </w:r>
            <w:r>
              <w:rPr>
                <w:rFonts w:hint="eastAsia" w:ascii="仿宋_GB2312" w:eastAsia="仿宋_GB2312"/>
              </w:rPr>
              <w:t>III</w:t>
            </w:r>
            <w:r>
              <w:rPr>
                <w:rFonts w:hint="eastAsia" w:ascii="仿宋_GB2312" w:hAnsi="宋体" w:eastAsia="仿宋_GB2312" w:cs="宋体"/>
              </w:rPr>
              <w:t>）离子标准储备溶液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1.0g/L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铁样品溶液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38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b/>
                <w:highlight w:val="yellow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去离子水</w:t>
            </w:r>
          </w:p>
        </w:tc>
      </w:tr>
    </w:tbl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2.溶液准备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根据现场提供的试剂，按标准要求配制指定的实验试剂溶液。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3.实验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（1）工作曲线绘制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配制铁（III）离子标准溶液系列：用吸量管准确移取不同体积的工作曲线使用的铁标准溶液于 7 个 容量瓶中，用于配置分光光度法测定未知铁试样溶液中铁含量的标准系列溶液。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溶液显色：向上述标准系列溶液中加入适量的抗坏血酸溶液，摇匀后加一定体积的乙酸-乙酸钠缓冲溶液和1,10- 菲啰啉溶液，用水稀释至刻度，摇匀，静置一定时间。制作工作曲线的每个容量瓶中溶液采用此处理方式。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测定最大吸收波长：以相同方式制备不含铁（III）离子的溶液为空白溶液，任取一份已显色的铁（III）离子标准系列溶液转移到比色皿中，选择相应波长范围进行测量，给出最大吸光度值的波长。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绘制标准曲线：在最大吸收波长处，测定各铁（III）离子标准系列溶液的吸光度。以浓度为横坐标，以相应的吸光度为纵坐标绘制标准曲线。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（2）样品分析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确定试样溶液的稀释倍数，配制待测溶液于所选用的容量瓶中，加适量的抗坏血酸溶液，摇匀后加一定体积的乙酸-乙酸钠缓冲溶液和1,10-菲啰啉溶液，用水稀释至刻度，摇匀。静置一定时间后，按照工作曲线绘制时相同的测定方法，在最大吸收波长处进行吸光度测定。平行测定 3 次。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由测得吸光度从工作曲线查出待测溶液中铁的浓度，求出试样中的铁含量。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4.结果处理、分析和报告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（1）试样中铁含量计算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按下式计算出试样中铁含量，以质量浓度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ρ(Fe)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计，数值以mg/L表示。取3次测定结果的算术平均值作为最终结果，结果保留4位有效数字。</w:t>
      </w:r>
    </w:p>
    <w:p>
      <w:pPr>
        <w:pStyle w:val="1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仿宋_GB2312" w:eastAsia="仿宋_GB2312"/>
          <w:spacing w:val="2"/>
          <w:sz w:val="28"/>
          <w:szCs w:val="28"/>
        </w:rPr>
      </w:pPr>
      <m:oMathPara>
        <m:oMath>
          <m:r>
            <w:rPr>
              <w:rFonts w:hint="eastAsia" w:ascii="Cambria Math" w:hAnsi="Cambria Math" w:eastAsia="仿宋_GB2312"/>
              <w:spacing w:val="2"/>
              <w:sz w:val="28"/>
              <w:szCs w:val="28"/>
              <w:lang w:val="en-US" w:eastAsia="zh-CN"/>
            </w:rPr>
            <m:t>ρ</m:t>
          </m:r>
          <m:r>
            <w:rPr>
              <w:rFonts w:hint="eastAsia" w:ascii="Cambria Math" w:hAnsi="Cambria Math" w:eastAsia="仿宋_GB2312"/>
              <w:spacing w:val="2"/>
              <w:sz w:val="28"/>
              <w:szCs w:val="28"/>
              <w:lang w:eastAsia="zh-CN"/>
            </w:rPr>
            <m:t xml:space="preserve"> </m:t>
          </m:r>
          <m:d>
            <m:dPr>
              <m:ctrlPr>
                <w:rPr>
                  <w:rFonts w:hint="eastAsia" w:ascii="Cambria Math" w:hAnsi="Cambria Math" w:eastAsia="仿宋_GB2312"/>
                  <w:i/>
                  <w:spacing w:val="2"/>
                  <w:sz w:val="28"/>
                  <w:szCs w:val="28"/>
                </w:rPr>
              </m:ctrlPr>
            </m:dPr>
            <m:e>
              <m:r>
                <w:rPr>
                  <w:rFonts w:hint="eastAsia" w:ascii="Cambria Math" w:hAnsi="Cambria Math" w:eastAsia="仿宋_GB2312"/>
                  <w:spacing w:val="2"/>
                  <w:sz w:val="28"/>
                  <w:szCs w:val="28"/>
                  <w:lang w:eastAsia="zh-CN"/>
                </w:rPr>
                <m:t>Fe</m:t>
              </m:r>
              <m:ctrlPr>
                <w:rPr>
                  <w:rFonts w:hint="eastAsia" w:ascii="Cambria Math" w:hAnsi="Cambria Math" w:eastAsia="仿宋_GB2312"/>
                  <w:i/>
                  <w:spacing w:val="2"/>
                  <w:sz w:val="28"/>
                  <w:szCs w:val="28"/>
                </w:rPr>
              </m:ctrlPr>
            </m:e>
          </m:d>
          <m:r>
            <w:rPr>
              <w:rFonts w:hint="eastAsia" w:ascii="Cambria Math" w:hAnsi="Cambria Math" w:eastAsia="仿宋_GB2312"/>
              <w:spacing w:val="2"/>
              <w:sz w:val="28"/>
              <w:szCs w:val="28"/>
            </w:rPr>
            <m:t>=</m:t>
          </m:r>
          <m:sSub>
            <m:sSubPr>
              <m:ctrlPr>
                <w:rPr>
                  <w:rFonts w:hint="eastAsia" w:ascii="Cambria Math" w:hAnsi="Cambria Math" w:eastAsia="仿宋_GB2312"/>
                  <w:i/>
                  <w:spacing w:val="2"/>
                  <w:sz w:val="28"/>
                  <w:szCs w:val="28"/>
                </w:rPr>
              </m:ctrlPr>
            </m:sSubPr>
            <m:e>
              <m:r>
                <w:rPr>
                  <w:rFonts w:hint="eastAsia" w:ascii="Cambria Math" w:hAnsi="Cambria Math" w:eastAsia="仿宋_GB2312"/>
                  <w:spacing w:val="2"/>
                  <w:sz w:val="28"/>
                  <w:szCs w:val="28"/>
                </w:rPr>
                <m:t>ρ</m:t>
              </m:r>
              <m:ctrlPr>
                <w:rPr>
                  <w:rFonts w:hint="eastAsia" w:ascii="Cambria Math" w:hAnsi="Cambria Math" w:eastAsia="仿宋_GB2312"/>
                  <w:i/>
                  <w:spacing w:val="2"/>
                  <w:sz w:val="28"/>
                  <w:szCs w:val="28"/>
                </w:rPr>
              </m:ctrlPr>
            </m:e>
            <m:sub>
              <m:r>
                <w:rPr>
                  <w:rFonts w:hint="eastAsia" w:ascii="Cambria Math" w:hAnsi="Cambria Math" w:eastAsia="仿宋_GB2312"/>
                  <w:spacing w:val="2"/>
                  <w:sz w:val="28"/>
                  <w:szCs w:val="28"/>
                  <w:lang w:eastAsia="zh-CN"/>
                </w:rPr>
                <m:t>x</m:t>
              </m:r>
              <m:ctrlPr>
                <w:rPr>
                  <w:rFonts w:hint="eastAsia" w:ascii="Cambria Math" w:hAnsi="Cambria Math" w:eastAsia="仿宋_GB2312"/>
                  <w:i/>
                  <w:spacing w:val="2"/>
                  <w:sz w:val="28"/>
                  <w:szCs w:val="28"/>
                </w:rPr>
              </m:ctrlPr>
            </m:sub>
          </m:sSub>
          <m:r>
            <w:rPr>
              <w:rFonts w:hint="eastAsia" w:ascii="Cambria Math" w:hAnsi="Cambria Math" w:eastAsia="仿宋_GB2312"/>
              <w:spacing w:val="2"/>
              <w:sz w:val="28"/>
              <w:szCs w:val="28"/>
            </w:rPr>
            <m:t>×</m:t>
          </m:r>
          <m:r>
            <w:rPr>
              <w:rFonts w:hint="eastAsia" w:ascii="Cambria Math" w:hAnsi="Cambria Math" w:eastAsia="仿宋_GB2312"/>
              <w:spacing w:val="2"/>
              <w:sz w:val="28"/>
              <w:szCs w:val="28"/>
              <w:lang w:eastAsia="zh-CN"/>
            </w:rPr>
            <m:t>n</m:t>
          </m:r>
        </m:oMath>
      </m:oMathPara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式中：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sym w:font="Symbol" w:char="F072"/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(Fe)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——试样中铁的浓度，mg/L；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sym w:font="Symbol" w:char="F072"/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x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——从工作曲线查得的待测溶液中铁浓度，mg/L；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 xml:space="preserve">n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——试样溶液的稀释倍数。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（2）误差分析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对试样中铁含量测定结果的精密度进行分析，以相对极差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A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（%）表示，结果精确至小数点后一位。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计算公式如下：</w:t>
      </w: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  <m:oMathPara>
        <m:oMath>
          <m:r>
            <w:rPr>
              <w:rFonts w:hint="eastAsia" w:ascii="Cambria Math" w:hAnsi="Cambria Math" w:eastAsia="仿宋_GB2312" w:cs="Times New Roman"/>
              <w:sz w:val="28"/>
              <w:szCs w:val="28"/>
            </w:rPr>
            <m:t>A=</m:t>
          </m:r>
          <m:f>
            <m:fPr>
              <m:ctrlPr>
                <w:rPr>
                  <w:rFonts w:hint="eastAsia" w:ascii="Cambria Math" w:hAnsi="Cambria Math" w:eastAsia="仿宋_GB2312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hint="eastAsia" w:ascii="Cambria Math" w:hAnsi="Cambria Math" w:eastAsia="仿宋_GB2312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hint="eastAsia"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hint="eastAsia" w:ascii="MS Mincho" w:hAnsi="MS Mincho" w:eastAsia="MS Mincho" w:cs="MS Mincho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hint="eastAsia"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hint="eastAsia" w:ascii="Cambria Math" w:hAnsi="Cambria Math" w:eastAsia="仿宋_GB2312" w:cs="Times New Roman"/>
                  <w:sz w:val="28"/>
                  <w:szCs w:val="28"/>
                </w:rPr>
                <m:t>)</m:t>
              </m:r>
              <m:ctrlPr>
                <w:rPr>
                  <w:rFonts w:hint="eastAsia" w:ascii="Cambria Math" w:hAnsi="Cambria Math" w:eastAsia="仿宋_GB2312" w:cs="Times New Roman"/>
                  <w:i/>
                  <w:sz w:val="28"/>
                  <w:szCs w:val="28"/>
                </w:rPr>
              </m:ctrlPr>
            </m:num>
            <m:den>
              <m:acc>
                <m:accPr>
                  <m:chr m:val="̅"/>
                  <m:ctrlPr>
                    <w:rPr>
                      <w:rFonts w:hint="eastAsia"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hint="eastAsia" w:ascii="Cambria Math" w:hAnsi="Cambria Math" w:eastAsia="仿宋_GB2312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hint="eastAsia"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e>
              </m:acc>
              <m:ctrlPr>
                <w:rPr>
                  <w:rFonts w:hint="eastAsia" w:ascii="Cambria Math" w:hAnsi="Cambria Math" w:eastAsia="仿宋_GB2312" w:cs="Times New Roman"/>
                  <w:i/>
                  <w:sz w:val="28"/>
                  <w:szCs w:val="28"/>
                </w:rPr>
              </m:ctrlPr>
            </m:den>
          </m:f>
          <m:r>
            <w:rPr>
              <w:rFonts w:hint="eastAsia" w:ascii="Cambria Math" w:hAnsi="Cambria Math" w:eastAsia="仿宋_GB2312" w:cs="Times New Roman"/>
              <w:spacing w:val="2"/>
              <w:sz w:val="28"/>
              <w:szCs w:val="28"/>
            </w:rPr>
            <m:t>×</m:t>
          </m:r>
          <m:r>
            <w:rPr>
              <w:rFonts w:hint="eastAsia" w:ascii="Cambria Math" w:hAnsi="Cambria Math" w:eastAsia="仿宋_GB2312" w:cs="Times New Roman"/>
              <w:sz w:val="28"/>
              <w:szCs w:val="28"/>
            </w:rPr>
            <m:t>100</m:t>
          </m:r>
        </m:oMath>
      </m:oMathPara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式中：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X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 xml:space="preserve">1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——平行测定的最大值；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X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 xml:space="preserve">2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——平行测定的最小值；</w:t>
      </w:r>
    </w:p>
    <w:p>
      <w:pPr>
        <w:pStyle w:val="4"/>
        <w:spacing w:line="360" w:lineRule="auto"/>
        <w:ind w:left="849" w:leftChars="386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m:oMath>
        <m:acc>
          <m:accPr>
            <m:chr m:val="̅"/>
            <m:ctrlPr>
              <w:rPr>
                <w:rFonts w:hint="eastAsia" w:ascii="Cambria Math" w:hAnsi="Cambria Math" w:eastAsia="仿宋_GB2312" w:cs="Times New Roman"/>
                <w:sz w:val="28"/>
                <w:szCs w:val="28"/>
                <w:lang w:eastAsia="zh-CN"/>
              </w:rPr>
            </m:ctrlPr>
          </m:accPr>
          <m:e>
            <m:r>
              <w:rPr>
                <w:rFonts w:hint="eastAsia" w:ascii="Cambria Math" w:hAnsi="Cambria Math" w:eastAsia="仿宋_GB2312" w:cs="Times New Roman"/>
                <w:sz w:val="28"/>
                <w:szCs w:val="28"/>
                <w:lang w:eastAsia="zh-CN"/>
              </w:rPr>
              <m:t>X</m:t>
            </m:r>
            <m:ctrlPr>
              <w:rPr>
                <w:rFonts w:hint="eastAsia" w:ascii="Cambria Math" w:hAnsi="Cambria Math" w:eastAsia="仿宋_GB2312" w:cs="Times New Roman"/>
                <w:sz w:val="28"/>
                <w:szCs w:val="28"/>
                <w:lang w:eastAsia="zh-CN"/>
              </w:rPr>
            </m:ctrlPr>
          </m:e>
        </m:acc>
      </m:oMath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——平行测定的平均值。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（3）报告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请完成一份报告，应包括：实验过程中必须做好的健康、安全、环保措施；实验过程记录和结果的评价、问题分析。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br w:type="page"/>
      </w:r>
    </w:p>
    <w:p>
      <w:pPr>
        <w:pStyle w:val="3"/>
        <w:spacing w:line="360" w:lineRule="auto"/>
        <w:ind w:left="0"/>
        <w:jc w:val="center"/>
        <w:rPr>
          <w:rFonts w:ascii="仿宋_GB2312" w:hAnsi="Times New Roman" w:eastAsia="仿宋_GB2312" w:cs="Times New Roman"/>
          <w:bCs w:val="0"/>
          <w:sz w:val="28"/>
          <w:szCs w:val="28"/>
          <w:lang w:eastAsia="zh-CN"/>
        </w:rPr>
      </w:pPr>
      <w:bookmarkStart w:id="10" w:name="_Toc51745492"/>
      <w:r>
        <w:rPr>
          <w:rFonts w:hint="eastAsia" w:ascii="仿宋_GB2312" w:hAnsi="Times New Roman" w:eastAsia="仿宋_GB2312" w:cs="Times New Roman"/>
          <w:bCs w:val="0"/>
          <w:sz w:val="28"/>
          <w:szCs w:val="28"/>
          <w:lang w:eastAsia="zh-CN"/>
        </w:rPr>
        <w:t>C模块样题：乙酸乙酯的合成及质量评价</w:t>
      </w:r>
      <w:bookmarkEnd w:id="10"/>
    </w:p>
    <w:p>
      <w:pPr>
        <w:pStyle w:val="4"/>
        <w:numPr>
          <w:ilvl w:val="0"/>
          <w:numId w:val="3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健康和安全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请说明哪些是健康和安全措施所必须的？给出相应描述！</w:t>
      </w:r>
    </w:p>
    <w:p>
      <w:pPr>
        <w:pStyle w:val="4"/>
        <w:numPr>
          <w:ilvl w:val="0"/>
          <w:numId w:val="3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环保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请说明是否需要采取环保措施？</w:t>
      </w:r>
    </w:p>
    <w:p>
      <w:pPr>
        <w:pStyle w:val="4"/>
        <w:numPr>
          <w:ilvl w:val="0"/>
          <w:numId w:val="3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基本原理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乙酸乙酯的合成是基于乙醇与乙酸发生的可逆平衡反应——酯化反应。采用气相色谱对合成产物进行鉴定，并对产物中的乙酸乙酯含量进行定量分析。</w:t>
      </w:r>
    </w:p>
    <w:p>
      <w:pPr>
        <w:pStyle w:val="4"/>
        <w:numPr>
          <w:ilvl w:val="0"/>
          <w:numId w:val="4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物料的物性常数表如下所示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81"/>
        <w:gridCol w:w="1535"/>
        <w:gridCol w:w="1238"/>
        <w:gridCol w:w="128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/>
                <w:spacing w:val="1"/>
                <w:sz w:val="24"/>
                <w:szCs w:val="24"/>
              </w:rPr>
              <w:t>药品名称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/>
                <w:spacing w:val="1"/>
                <w:sz w:val="24"/>
                <w:szCs w:val="24"/>
              </w:rPr>
              <w:t>分子量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/>
                <w:spacing w:val="1"/>
                <w:sz w:val="24"/>
                <w:szCs w:val="24"/>
              </w:rPr>
              <w:t>密度（g/mL）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/>
                <w:spacing w:val="1"/>
                <w:sz w:val="24"/>
                <w:szCs w:val="24"/>
              </w:rPr>
              <w:t>沸点(℃)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/>
                <w:spacing w:val="1"/>
                <w:sz w:val="24"/>
                <w:szCs w:val="24"/>
              </w:rPr>
              <w:t>折光率</w:t>
            </w:r>
          </w:p>
        </w:tc>
        <w:tc>
          <w:tcPr>
            <w:tcW w:w="158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/>
                <w:spacing w:val="1"/>
                <w:sz w:val="24"/>
                <w:szCs w:val="24"/>
              </w:rPr>
              <w:t>水溶解度</w:t>
            </w:r>
          </w:p>
          <w:p>
            <w:pPr>
              <w:snapToGrid w:val="0"/>
              <w:jc w:val="center"/>
              <w:rPr>
                <w:rFonts w:ascii="仿宋_GB2312" w:hAnsi="宋体" w:eastAsia="仿宋_GB2312" w:cs="仿宋"/>
                <w:b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/>
                <w:spacing w:val="1"/>
                <w:sz w:val="24"/>
                <w:szCs w:val="24"/>
              </w:rPr>
              <w:t>（g/100mL）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冰醋酸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60.05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1.049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118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1.376</w:t>
            </w:r>
          </w:p>
        </w:tc>
        <w:tc>
          <w:tcPr>
            <w:tcW w:w="158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易溶于水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乙醇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46.07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0.789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78.4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1.361</w:t>
            </w:r>
          </w:p>
        </w:tc>
        <w:tc>
          <w:tcPr>
            <w:tcW w:w="158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易溶于水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乙酸乙酯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88.11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0.9005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77.1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1.372</w:t>
            </w:r>
          </w:p>
        </w:tc>
        <w:tc>
          <w:tcPr>
            <w:tcW w:w="158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微溶于水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浓硫酸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98.08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1.84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——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——</w:t>
            </w:r>
          </w:p>
        </w:tc>
        <w:tc>
          <w:tcPr>
            <w:tcW w:w="158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易溶于水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乙酸正丙酯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102.13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0.8878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101.6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1.383</w:t>
            </w:r>
          </w:p>
        </w:tc>
        <w:tc>
          <w:tcPr>
            <w:tcW w:w="158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"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"/>
                <w:bCs/>
                <w:spacing w:val="1"/>
                <w:sz w:val="24"/>
                <w:szCs w:val="24"/>
              </w:rPr>
              <w:t>微溶于水</w:t>
            </w:r>
          </w:p>
        </w:tc>
      </w:tr>
    </w:tbl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4"/>
        <w:numPr>
          <w:ilvl w:val="0"/>
          <w:numId w:val="4"/>
        </w:numPr>
        <w:spacing w:line="360" w:lineRule="auto"/>
        <w:ind w:left="1327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乙酸乙酯测定的色谱条件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3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色谱柱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PEG（聚乙二醇）毛细管柱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柱长/柱内径/液膜厚度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50m/0.25mm/0.2μm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柱温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140-150℃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气化室温度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检测器温度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载气（N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）平均速度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50cm/s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空气流量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300mL/min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氢气流量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30mL/min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分流比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02" w:type="dxa"/>
            <w:vAlign w:val="center"/>
          </w:tcPr>
          <w:p>
            <w:pPr>
              <w:jc w:val="both"/>
              <w:textAlignment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进样量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0.2～1.0μL</w:t>
            </w:r>
          </w:p>
        </w:tc>
      </w:tr>
    </w:tbl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目标</w:t>
      </w:r>
    </w:p>
    <w:p>
      <w:pPr>
        <w:pStyle w:val="4"/>
        <w:numPr>
          <w:ilvl w:val="0"/>
          <w:numId w:val="5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根据流程进行乙酸乙酯的制备</w:t>
      </w:r>
    </w:p>
    <w:p>
      <w:pPr>
        <w:pStyle w:val="4"/>
        <w:numPr>
          <w:ilvl w:val="0"/>
          <w:numId w:val="5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计算乙酸乙酯的产率（%）</w:t>
      </w:r>
    </w:p>
    <w:p>
      <w:pPr>
        <w:pStyle w:val="4"/>
        <w:numPr>
          <w:ilvl w:val="0"/>
          <w:numId w:val="5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准备标准溶液和内标溶液</w:t>
      </w:r>
    </w:p>
    <w:p>
      <w:pPr>
        <w:pStyle w:val="4"/>
        <w:numPr>
          <w:ilvl w:val="0"/>
          <w:numId w:val="5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测定乙酸乙酯的含量</w:t>
      </w:r>
    </w:p>
    <w:p>
      <w:pPr>
        <w:pStyle w:val="4"/>
        <w:numPr>
          <w:ilvl w:val="0"/>
          <w:numId w:val="5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完成报告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完成工作的总时间是6小时。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所有气相色谱系统操作均由技术专家进行，选手制备样品，送样分析并说明进样顺序和要求，但不能改变提到的色谱条件。选手应仔细考虑实验设计，以适应总时间，例如制备哪些溶液、重复测量次数等。</w:t>
      </w:r>
    </w:p>
    <w:p>
      <w:pPr>
        <w:pStyle w:val="4"/>
        <w:numPr>
          <w:ilvl w:val="0"/>
          <w:numId w:val="3"/>
        </w:numPr>
        <w:spacing w:line="360" w:lineRule="auto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仪器设备、试剂和解决方案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1．仪器设备、试剂清单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  <w:t>主要设备</w:t>
            </w: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磁力搅拌器（带加热板）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升降台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带十字夹的铁架台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</w:rPr>
              <w:t>电子天平</w:t>
            </w:r>
            <w:r>
              <w:rPr>
                <w:rFonts w:hint="eastAsia" w:ascii="仿宋_GB2312" w:eastAsia="仿宋_GB2312"/>
                <w:lang w:eastAsia="zh-CN"/>
              </w:rPr>
              <w:t>（精度0.01g）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</w:rPr>
              <w:t>通风设备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气流烘干器（30孔，不锈钢）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气相色谱系统（火焰离子化检测器FID）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色谱柱（PEG（聚乙二醇）毛细管柱）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</w:rPr>
              <w:t>移液器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不同规格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  <w:t>玻璃器皿</w:t>
            </w: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单口</w:t>
            </w:r>
            <w:r>
              <w:rPr>
                <w:rFonts w:hint="eastAsia" w:ascii="仿宋_GB2312" w:eastAsia="仿宋_GB2312"/>
              </w:rPr>
              <w:t>烧瓶</w:t>
            </w:r>
            <w:r>
              <w:rPr>
                <w:rFonts w:hint="eastAsia" w:ascii="仿宋_GB2312" w:eastAsia="仿宋_GB2312"/>
                <w:lang w:eastAsia="zh-CN"/>
              </w:rPr>
              <w:t>（磨口）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三口</w:t>
            </w:r>
            <w:r>
              <w:rPr>
                <w:rFonts w:hint="eastAsia" w:ascii="仿宋_GB2312" w:eastAsia="仿宋_GB2312"/>
              </w:rPr>
              <w:t>烧瓶</w:t>
            </w:r>
            <w:r>
              <w:rPr>
                <w:rFonts w:hint="eastAsia" w:ascii="仿宋_GB2312" w:eastAsia="仿宋_GB2312"/>
                <w:lang w:eastAsia="zh-CN"/>
              </w:rPr>
              <w:t>（磨口）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</w:rPr>
              <w:t>分液漏斗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聚四氟乙烯旋塞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恒压长颈滴液漏斗（磨口）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具塞容量瓶（</w:t>
            </w:r>
            <w:r>
              <w:rPr>
                <w:rFonts w:hint="eastAsia" w:ascii="仿宋_GB2312" w:eastAsia="仿宋_GB2312"/>
              </w:rPr>
              <w:t>不同规格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直形</w:t>
            </w:r>
            <w:r>
              <w:rPr>
                <w:rFonts w:hint="eastAsia" w:ascii="仿宋_GB2312" w:eastAsia="仿宋_GB2312"/>
              </w:rPr>
              <w:t>冷凝管</w:t>
            </w:r>
            <w:r>
              <w:rPr>
                <w:rFonts w:hint="eastAsia" w:ascii="仿宋_GB2312" w:eastAsia="仿宋_GB2312"/>
                <w:lang w:eastAsia="zh-CN"/>
              </w:rPr>
              <w:t>（磨口）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</w:rPr>
              <w:t>蒸馏头</w:t>
            </w:r>
            <w:r>
              <w:rPr>
                <w:rFonts w:hint="eastAsia" w:ascii="仿宋_GB2312" w:eastAsia="仿宋_GB2312"/>
                <w:lang w:eastAsia="zh-CN"/>
              </w:rPr>
              <w:t>（磨口）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真空尾接管（磨口）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</w:rPr>
              <w:t>玻璃塞</w:t>
            </w:r>
            <w:r>
              <w:rPr>
                <w:rFonts w:hint="eastAsia" w:ascii="仿宋_GB2312" w:eastAsia="仿宋_GB2312"/>
                <w:lang w:eastAsia="zh-CN"/>
              </w:rPr>
              <w:t>（磨口）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玻璃漏斗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eastAsia="zh-CN"/>
              </w:rPr>
              <w:t>锥形瓶（磨口）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量筒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不同规格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</w:rPr>
              <w:t>烧杯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不同规格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</w:rPr>
              <w:t>进样器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</w:rPr>
              <w:t>不同规格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  <w:t>试剂和溶液</w:t>
            </w: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冰醋酸（乙酸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碳酸钠溶液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氯化钠溶液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氯化钙溶液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无水硫酸镁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乙酸乙酯标准品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乙酸正丙酯标准品（内标物）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仿宋_GB2312" w:hAnsi="Times New Roman" w:eastAsia="仿宋_GB2312" w:cs="Times New Roman"/>
                <w:b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ascii="仿宋_GB2312" w:eastAsia="仿宋_GB2312"/>
                <w:lang w:val="zh-Hans" w:eastAsia="zh-CN"/>
              </w:rPr>
            </w:pPr>
            <w:r>
              <w:rPr>
                <w:rFonts w:hint="eastAsia" w:ascii="仿宋_GB2312" w:eastAsia="仿宋_GB2312"/>
                <w:lang w:val="zh-Hans" w:eastAsia="zh-CN"/>
              </w:rPr>
              <w:t>去离子水</w:t>
            </w:r>
          </w:p>
        </w:tc>
      </w:tr>
    </w:tbl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2.  合成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（1）乙酸乙酯的合成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在烧瓶中，加入适量乙醇、浓硫酸，混匀后加入几粒沸石。在滴液漏斗内加入适量乙醇和冰醋酸并混匀。开始加热，当温度升至约120℃时，开始滴加乙醇和冰醋酸的混合液，并调节好滴加速度，使滴入与馏出乙酸乙酯的速度大致相等。反应结束后，停止加热，保留粗产品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（2）乙酸乙酯的提纯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洗涤：在粗乙酸乙酯中加入饱和碳酸钠溶液洗涤至中性，然后将此混合液移入分液漏斗中，充分振摇，静置分层后，分出水层。接着用饱和氯化钠溶液洗涤，分出水层。再用饱和氯化钙溶液洗涤酯层，分出水层。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干燥：将酯层倒入锥形瓶中，并放入一定质量的无水硫酸镁，配上塞子，充分振摇至液体澄清透明，再放置干燥。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蒸馏：将干燥后的乙酸乙酯用漏斗经脱脂棉过滤至干燥的蒸馏烧瓶中，加入几粒沸石，安装好蒸馏装置，加热进行蒸馏。收集乙酸乙酯馏分，记录精制乙酸乙酯的产量。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3. 产物分析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（1）相对质量校正因子的测定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含内标物的标准溶液配制：准确称取一定质量的待测组分（乙酸乙酯）标准品于样品瓶中，然后加入一定质量的内标物（乙酸正丙酯标准品），准确称量并计算内标物质量。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相对质量校正因子的测定：将上述配好的内标物溶液混合均匀，然后用微量注射器取样、进样，根据所得色谱图获得相关峰的峰面积。平行测定3次。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（2）产物样品的测定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含内标物的产物样品溶液制备：采用上述方法，准确称取一定质量的合成产物（乙酸乙酯产品），然后加入一定质量的乙酸正丙酯标准品作内标物。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产物样品溶液测定：将上述配好的样品溶液混合均匀后，用微量注射器取一定体积进样，从色谱图获得乙酸乙酯及内标物的峰面积。平行测定3次。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4. 结果处理、分析和报告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（1）</w:t>
      </w:r>
      <w:r>
        <w:rPr>
          <w:rFonts w:hint="eastAsia" w:ascii="仿宋_GB2312" w:eastAsia="仿宋_GB2312"/>
          <w:sz w:val="28"/>
          <w:szCs w:val="28"/>
          <w:lang w:eastAsia="zh-CN"/>
        </w:rPr>
        <w:t>根据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标准溶液的色谱图，判断内标物和待测物的保留时间（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t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R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），计算峰面积（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A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）。测量结果总结在表中，并用于识别样品峰。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2）计算内标物的相对质量校正因子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m:oMath>
        <m:sSub>
          <m:sSubPr>
            <m:ctrlPr>
              <w:rPr>
                <w:rFonts w:hint="eastAsia" w:ascii="Cambria Math" w:hAnsi="Cambria Math" w:eastAsia="仿宋_GB2312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hint="eastAsia" w:ascii="Cambria Math" w:hAnsi="Cambria Math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m:t>f</m:t>
            </m:r>
            <m:ctrlPr>
              <w:rPr>
                <w:rFonts w:hint="eastAsia" w:ascii="Cambria Math" w:hAnsi="Cambria Math" w:eastAsia="仿宋_GB2312"/>
                <w:i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hint="eastAsia" w:ascii="Cambria Math" w:hAnsi="Cambria Math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m:t>i/s</m:t>
            </m:r>
            <m:ctrlPr>
              <w:rPr>
                <w:rFonts w:hint="eastAsia" w:ascii="Cambria Math" w:hAnsi="Cambria Math" w:eastAsia="仿宋_GB2312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hint="eastAsia" w:ascii="Cambria Math" w:hAnsi="Cambria Math" w:eastAsia="仿宋_GB2312"/>
            <w:color w:val="000000" w:themeColor="text1"/>
            <w:sz w:val="28"/>
            <w:szCs w:val="28"/>
            <w:lang w:eastAsia="zh-CN"/>
            <w14:textFill>
              <w14:solidFill>
                <w14:schemeClr w14:val="tx1"/>
              </w14:solidFill>
            </w14:textFill>
          </w:rPr>
          <m:t>'</m:t>
        </m:r>
      </m:oMath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，公式如下：</w:t>
      </w:r>
    </w:p>
    <w:p>
      <w:pPr>
        <w:spacing w:before="120" w:beforeLines="50"/>
        <w:ind w:firstLine="420"/>
        <w:rPr>
          <w:rFonts w:ascii="仿宋_GB2312" w:hAnsi="宋体" w:eastAsia="仿宋_GB2312"/>
          <w:sz w:val="28"/>
          <w:szCs w:val="28"/>
        </w:rPr>
      </w:pPr>
      <m:oMathPara>
        <m:oMath>
          <m:sSub>
            <m:sSubP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sSubPr>
            <m:e>
              <m:r>
                <w:rPr>
                  <w:rFonts w:hint="eastAsia" w:ascii="Cambria Math" w:hAnsi="Cambria Math" w:eastAsia="仿宋_GB2312"/>
                  <w:color w:val="000000" w:themeColor="text1"/>
                  <w:sz w:val="28"/>
                  <w:szCs w:val="2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f</m:t>
              </m: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z w:val="28"/>
                  <w:szCs w:val="2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b>
              <m:r>
                <w:rPr>
                  <w:rFonts w:hint="eastAsia" w:ascii="Cambria Math" w:hAnsi="Cambria Math" w:eastAsia="仿宋_GB2312"/>
                  <w:color w:val="000000" w:themeColor="text1"/>
                  <w:sz w:val="28"/>
                  <w:szCs w:val="2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i/s</m:t>
              </m: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eastAsia="仿宋_GB2312"/>
              <w:color w:val="000000" w:themeColor="text1"/>
              <w:sz w:val="28"/>
              <w:szCs w:val="28"/>
              <w:lang w:eastAsia="zh-CN"/>
              <w14:textFill>
                <w14:solidFill>
                  <w14:schemeClr w14:val="tx1"/>
                </w14:solidFill>
              </w14:textFill>
            </w:rPr>
            <m:t>'</m:t>
          </m:r>
          <m:r>
            <w:rPr>
              <w:rFonts w:hint="eastAsia" w:ascii="Cambria Math" w:hAnsi="Cambria Math" w:eastAsia="仿宋_GB2312"/>
              <w:sz w:val="28"/>
              <w:szCs w:val="28"/>
            </w:rPr>
            <m:t>=</m:t>
          </m:r>
          <m:f>
            <m:fPr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A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s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×m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i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A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i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×m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s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</w:rPr>
              </m:ctrlPr>
            </m:den>
          </m:f>
        </m:oMath>
      </m:oMathPara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式中：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A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i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——乙酸乙酯的峰面积；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m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i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——乙酸乙酯的质量；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A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 xml:space="preserve">s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——内标物（乙酸正丙酯）的峰面积；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m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s</w:t>
      </w:r>
      <w:r>
        <w:rPr>
          <w:rFonts w:hint="eastAsia" w:ascii="仿宋_GB2312" w:hAnsi="Times New Roman" w:eastAsia="仿宋_GB2312" w:cs="Times New Roman"/>
          <w:sz w:val="28"/>
          <w:szCs w:val="28"/>
          <w:vertAlign w:val="subscript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——内标物（乙酸正丙酯）的质量。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（3）计算产物中乙酸乙酯的含量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Times New Roman" w:eastAsia="仿宋_GB2312" w:cs="Times New Roman"/>
          <w:b/>
          <w:bCs/>
          <w:i/>
          <w:iCs/>
          <w:sz w:val="28"/>
          <w:szCs w:val="28"/>
          <w:lang w:eastAsia="zh-CN"/>
        </w:rPr>
        <w:t>w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vertAlign w:val="subscript"/>
          <w:lang w:eastAsia="zh-CN"/>
        </w:rPr>
        <w:t>i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），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取3次测定结果的算术平均值作为最终结果，结果精确至小数点后一位，公式如下：</w:t>
      </w:r>
    </w:p>
    <w:p>
      <w:pPr>
        <w:spacing w:before="120" w:beforeLines="50"/>
        <w:ind w:firstLine="420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hint="eastAsia" w:ascii="Cambria Math" w:hAnsi="Cambria Math" w:eastAsia="仿宋_GB2312"/>
                  <w:sz w:val="28"/>
                  <w:szCs w:val="28"/>
                  <w:lang w:eastAsia="zh-CN"/>
                </w:rPr>
                <m:t>w</m:t>
              </m:r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  <w:lang w:eastAsia="zh-CN"/>
                </w:rPr>
              </m:ctrlPr>
            </m:e>
            <m:sub>
              <m:r>
                <w:rPr>
                  <w:rFonts w:hint="eastAsia" w:ascii="Cambria Math" w:hAnsi="Cambria Math" w:eastAsia="仿宋_GB2312"/>
                  <w:sz w:val="28"/>
                  <w:szCs w:val="28"/>
                  <w:lang w:eastAsia="zh-CN"/>
                </w:rPr>
                <m:t>i</m:t>
              </m:r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  <w:lang w:eastAsia="zh-CN"/>
                </w:rPr>
              </m:ctrlPr>
            </m:sub>
          </m:sSub>
          <m:r>
            <w:rPr>
              <w:rFonts w:hint="eastAsia" w:ascii="Cambria Math" w:hAnsi="Cambria Math" w:eastAsia="仿宋_GB2312"/>
              <w:sz w:val="28"/>
              <w:szCs w:val="28"/>
            </w:rPr>
            <m:t>=</m:t>
          </m:r>
          <m:f>
            <m:fPr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A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i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×m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  <w:lang w:eastAsia="zh-CN"/>
                    </w:rPr>
                    <m:t>s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A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仿宋_GB2312"/>
                      <w:sz w:val="28"/>
                      <w:szCs w:val="28"/>
                    </w:rPr>
                    <m:t>s</m:t>
                  </m:r>
                  <m:ctrlPr>
                    <w:rPr>
                      <w:rFonts w:hint="eastAsia" w:ascii="Cambria Math" w:hAnsi="Cambria Math" w:eastAsia="仿宋_GB2312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hint="eastAsia" w:ascii="Cambria Math" w:hAnsi="Cambria Math" w:eastAsia="仿宋_GB2312"/>
                  <w:sz w:val="28"/>
                  <w:szCs w:val="28"/>
                </w:rPr>
                <m:t>×m</m:t>
              </m:r>
              <m:ctrlPr>
                <w:rPr>
                  <w:rFonts w:hint="eastAsia" w:ascii="Cambria Math" w:hAnsi="Cambria Math" w:eastAsia="仿宋_GB2312"/>
                  <w:i/>
                  <w:sz w:val="28"/>
                  <w:szCs w:val="28"/>
                </w:rPr>
              </m:ctrlPr>
            </m:den>
          </m:f>
          <m:r>
            <w:rPr>
              <w:rFonts w:hint="eastAsia" w:ascii="Cambria Math" w:hAnsi="Cambria Math" w:eastAsia="仿宋_GB2312"/>
              <w:sz w:val="28"/>
              <w:szCs w:val="28"/>
            </w:rPr>
            <m:t>×</m:t>
          </m:r>
          <m:sSub>
            <m:sSubP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sSubPr>
            <m:e>
              <m:r>
                <w:rPr>
                  <w:rFonts w:hint="eastAsia" w:ascii="Cambria Math" w:hAnsi="Cambria Math" w:eastAsia="仿宋_GB2312"/>
                  <w:color w:val="000000" w:themeColor="text1"/>
                  <w:sz w:val="28"/>
                  <w:szCs w:val="2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f</m:t>
              </m: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z w:val="28"/>
                  <w:szCs w:val="2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m:ctrlPr>
            </m:e>
            <m:sub>
              <m:r>
                <w:rPr>
                  <w:rFonts w:hint="eastAsia" w:ascii="Cambria Math" w:hAnsi="Cambria Math" w:eastAsia="仿宋_GB2312"/>
                  <w:color w:val="000000" w:themeColor="text1"/>
                  <w:sz w:val="28"/>
                  <w:szCs w:val="2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i/s</m:t>
              </m:r>
              <m:ctrlPr>
                <w:rPr>
                  <w:rFonts w:hint="eastAsia" w:ascii="Cambria Math" w:hAnsi="Cambria Math" w:eastAsia="仿宋_GB2312"/>
                  <w:i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eastAsia="仿宋_GB2312"/>
              <w:color w:val="000000" w:themeColor="text1"/>
              <w:sz w:val="28"/>
              <w:szCs w:val="28"/>
              <w:lang w:eastAsia="zh-CN"/>
              <w14:textFill>
                <w14:solidFill>
                  <w14:schemeClr w14:val="tx1"/>
                </w14:solidFill>
              </w14:textFill>
            </w:rPr>
            <m:t>'</m:t>
          </m:r>
          <m:r>
            <w:rPr>
              <w:rFonts w:hint="eastAsia" w:ascii="Cambria Math" w:hAnsi="Cambria Math" w:eastAsia="仿宋_GB2312"/>
              <w:sz w:val="28"/>
              <w:szCs w:val="28"/>
            </w:rPr>
            <m:t>×100%</m:t>
          </m:r>
        </m:oMath>
      </m:oMathPara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式中：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A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i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——产物样品中乙酸乙酯所得的峰面积；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 xml:space="preserve">m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——产物样品的质量；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A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s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——内标物（乙酸正丙酯）的峰面积；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lang w:eastAsia="zh-CN"/>
        </w:rPr>
        <w:t>m</w:t>
      </w:r>
      <w:r>
        <w:rPr>
          <w:rFonts w:hint="eastAsia" w:ascii="仿宋_GB2312" w:hAnsi="Times New Roman" w:eastAsia="仿宋_GB2312" w:cs="Times New Roman"/>
          <w:i/>
          <w:iCs/>
          <w:sz w:val="28"/>
          <w:szCs w:val="28"/>
          <w:vertAlign w:val="subscript"/>
          <w:lang w:eastAsia="zh-CN"/>
        </w:rPr>
        <w:t>s</w:t>
      </w:r>
      <w:r>
        <w:rPr>
          <w:rFonts w:hint="eastAsia" w:ascii="仿宋_GB2312" w:hAnsi="Times New Roman" w:eastAsia="仿宋_GB2312" w:cs="Times New Roman"/>
          <w:sz w:val="28"/>
          <w:szCs w:val="28"/>
          <w:vertAlign w:val="subscript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——内标物（乙酸正丙酯）的质量；</w:t>
      </w:r>
    </w:p>
    <w:p>
      <w:pPr>
        <w:pStyle w:val="4"/>
        <w:spacing w:line="360" w:lineRule="auto"/>
        <w:ind w:left="992" w:leftChars="451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m:oMath>
        <m:sSub>
          <m:sSubPr>
            <m:ctrlPr>
              <w:rPr>
                <w:rFonts w:hint="eastAsia" w:ascii="Cambria Math" w:hAnsi="Cambria Math" w:eastAsia="仿宋_GB2312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hint="eastAsia" w:ascii="Cambria Math" w:hAnsi="Cambria Math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m:t>f</m:t>
            </m:r>
            <m:ctrlPr>
              <w:rPr>
                <w:rFonts w:hint="eastAsia" w:ascii="Cambria Math" w:hAnsi="Cambria Math" w:eastAsia="仿宋_GB2312"/>
                <w:i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hint="eastAsia" w:ascii="Cambria Math" w:hAnsi="Cambria Math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m:t>i/s</m:t>
            </m:r>
            <m:ctrlPr>
              <w:rPr>
                <w:rFonts w:hint="eastAsia" w:ascii="Cambria Math" w:hAnsi="Cambria Math" w:eastAsia="仿宋_GB2312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_GB2312"/>
            <w:color w:val="000000" w:themeColor="text1"/>
            <w:sz w:val="28"/>
            <w:szCs w:val="28"/>
            <w:lang w:eastAsia="zh-CN"/>
            <w14:textFill>
              <w14:solidFill>
                <w14:schemeClr w14:val="tx1"/>
              </w14:solidFill>
            </w14:textFill>
          </w:rPr>
          <m:t>'</m:t>
        </m:r>
      </m:oMath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——内标物的相对质量校正因子。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（4）计算产物的产率</w:t>
      </w:r>
    </w:p>
    <w:p>
      <w:pPr>
        <w:pStyle w:val="4"/>
        <w:spacing w:line="360" w:lineRule="auto"/>
        <w:ind w:left="425" w:leftChars="193" w:firstLine="562" w:firstLineChars="200"/>
        <w:jc w:val="both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（5）报告</w:t>
      </w:r>
    </w:p>
    <w:p>
      <w:pPr>
        <w:pStyle w:val="4"/>
        <w:spacing w:line="360" w:lineRule="auto"/>
        <w:ind w:left="425" w:leftChars="193"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请完成一份报告，应包括：实验过程中必须做好的健康、安全、环保措施；实验过程记录和结果的评价、问题分析。</w:t>
      </w:r>
    </w:p>
    <w:p>
      <w:pPr>
        <w:pStyle w:val="4"/>
        <w:spacing w:line="360" w:lineRule="auto"/>
        <w:ind w:left="425" w:leftChars="193" w:firstLine="480" w:firstLineChars="200"/>
        <w:jc w:val="both"/>
        <w:rPr>
          <w:rFonts w:ascii="Times New Roman" w:hAnsi="Times New Roman" w:cs="Times New Roman"/>
          <w:lang w:eastAsia="zh-CN"/>
        </w:rPr>
      </w:pPr>
    </w:p>
    <w:p/>
    <w:sectPr>
      <w:pgSz w:w="11910" w:h="16840"/>
      <w:pgMar w:top="1340" w:right="1100" w:bottom="1260" w:left="1360" w:header="0" w:footer="1166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Medium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889"/>
    <w:multiLevelType w:val="multilevel"/>
    <w:tmpl w:val="129E6889"/>
    <w:lvl w:ilvl="0" w:tentative="0">
      <w:start w:val="1"/>
      <w:numFmt w:val="bullet"/>
      <w:lvlText w:val=""/>
      <w:lvlJc w:val="left"/>
      <w:pPr>
        <w:ind w:left="13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5" w:hanging="420"/>
      </w:pPr>
      <w:rPr>
        <w:rFonts w:hint="default" w:ascii="Wingdings" w:hAnsi="Wingdings"/>
      </w:rPr>
    </w:lvl>
  </w:abstractNum>
  <w:abstractNum w:abstractNumId="1">
    <w:nsid w:val="17E314E0"/>
    <w:multiLevelType w:val="multilevel"/>
    <w:tmpl w:val="17E314E0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2">
    <w:nsid w:val="48F0711B"/>
    <w:multiLevelType w:val="multilevel"/>
    <w:tmpl w:val="48F0711B"/>
    <w:lvl w:ilvl="0" w:tentative="0">
      <w:start w:val="1"/>
      <w:numFmt w:val="bullet"/>
      <w:lvlText w:val=""/>
      <w:lvlJc w:val="left"/>
      <w:pPr>
        <w:ind w:left="13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5" w:hanging="420"/>
      </w:pPr>
      <w:rPr>
        <w:rFonts w:hint="default" w:ascii="Wingdings" w:hAnsi="Wingdings"/>
      </w:rPr>
    </w:lvl>
  </w:abstractNum>
  <w:abstractNum w:abstractNumId="3">
    <w:nsid w:val="61B41018"/>
    <w:multiLevelType w:val="multilevel"/>
    <w:tmpl w:val="61B41018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">
    <w:nsid w:val="724461DF"/>
    <w:multiLevelType w:val="multilevel"/>
    <w:tmpl w:val="724461DF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C5567"/>
    <w:rsid w:val="597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黑体" w:hAnsi="黑体" w:eastAsia="黑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0"/>
    <w:pPr>
      <w:ind w:left="120"/>
      <w:outlineLvl w:val="1"/>
    </w:pPr>
    <w:rPr>
      <w:rFonts w:ascii="宋体" w:hAnsi="宋体" w:eastAsia="宋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24"/>
      <w:szCs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uiPriority w:val="99"/>
  </w:style>
  <w:style w:type="paragraph" w:customStyle="1" w:styleId="10">
    <w:name w:val="formattext"/>
    <w:basedOn w:val="1"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2020-09-29T03:03:00Z</dcterms:created>
  <dcterms:modified xsi:type="dcterms:W3CDTF">2020-09-29T03:04:07Z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